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70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работы Контрольно-счетной палаты городского округа город Мегион на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проведено контрольное мероприятие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«Проверка деятельности администрации города Мегиона по управлению и распоряжению земельными ресурсами города Мегиона»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709"/>
        <w:jc w:val="both"/>
        <w:spacing w:before="12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администрация города Мегиона (далее - администрация), ИНН 8605004157, КПП 860501001; юридический адрес 628685, Ханты-Мансийский автономный округ - Югра, г. Мегион, ул. Нефтяников, д. 8.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ind w:left="0" w:right="0" w:firstLine="70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 проверки 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120"/>
        <w:tabs>
          <w:tab w:val="left" w:pos="284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  <w:highlight w:val="none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нализ нормативно-правовой базы, регулирующей деятельность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образования городского округа город Мегион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части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управления и распоряжения земельными ресурсами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 доходов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 получаемых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администрацией от деятельности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управления и распоряжения земельными ресурсами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анализ правомерности управления и распоряжения земельными ресурсами города Мегиона;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проверка  правомерности предоставления земельных участков в аренду,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проверка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учета арендной платы за землю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 проверка правомерности продажи земельных участков, находящихся в распоряжении города Мегиона;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проверка правомерности предоставления земельных участков, находящихся в распоряжении города Мегиона, в собственность бесплатно;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анализ дебиторской задолженности по доходом, получаемым администрацией от деятельности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управления и распоряжения земельными ресурсами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617"/>
        <w:ind w:left="0" w:right="0" w:firstLine="709"/>
        <w:jc w:val="both"/>
        <w:spacing w:before="1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проведении 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установлены случаи нарушения административных регламентов и Земельного кодекса Российской Федерации.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pStyle w:val="617"/>
        <w:ind w:left="0" w:right="0" w:firstLine="70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контрольного мероприятия администрации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представлени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для принятия мер по устранению выявленных нарушений и недостатков.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ConsPlusNormal"/>
    <w:link w:val="843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2025-12-18T05:21:33Z</dcterms:modified>
</cp:coreProperties>
</file>