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соответствии с Планом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работы Контрольно-счетной палаты города Мегиона на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6 год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проведено контрольное мероприятие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«Проверка законности, результативности (эффективности) расходования бюджетных средств, направленных на реализацию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униципальной программы «Укрепление межнационального и межконфессионального согласия, профилактика экстремизма и терроризма в городе Мегионе»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/>
      <w:r>
        <w:rPr>
          <w:rFonts w:ascii="Times New Roman" w:hAnsi="Times New Roman" w:cs="Times New Roman"/>
          <w:sz w:val="20"/>
          <w:szCs w:val="20"/>
        </w:rPr>
      </w:r>
    </w:p>
    <w:p>
      <w:pPr>
        <w:pStyle w:val="830"/>
        <w:ind w:left="0" w:right="0" w:firstLine="709"/>
        <w:jc w:val="both"/>
        <w:spacing w:before="119" w:beforeAutospacing="0"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 проверки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администрация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Мегиона,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муниципальное казенное учреждение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капитального строительства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6"/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 проверки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год.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6"/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еятельность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города Мегиона по исполнению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Укрепление межнационального и межконфессионального согласия, профилактика экстремизма и терроризма в город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утвержденной постановлением администрации города Мегиона от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14.12.2023 № 2086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(далее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Муниципальная программа № 2086). 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0"/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ходе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проведения контрольного мероприятия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установлены случаи нарушения условий, установленных муниципальными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нормативно-правовыми актами, в рамках исполнения Муниципальной программы № 2086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Федерального закона от 05.04.2013 № 44-ФЗ «О кон</w:t>
      </w:r>
      <w:r>
        <w:rPr>
          <w:rFonts w:ascii="Times New Roman" w:hAnsi="Times New Roman"/>
          <w:sz w:val="24"/>
          <w:szCs w:val="24"/>
          <w:highlight w:val="white"/>
        </w:rPr>
        <w:t xml:space="preserve">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</w:p>
    <w:p>
      <w:pPr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контрольного мероприятия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администрации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города Мегиона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представлени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для принятия мер по устранению выявленных нарушений и недостатков.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2026-07-01T07:19:02Z</dcterms:modified>
</cp:coreProperties>
</file>