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ind w:left="0" w:right="0" w:firstLine="709"/>
        <w:jc w:val="both"/>
        <w:spacing w:before="12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 соответствии с Планом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работы Контрольно-счетной палаты города Мегиона на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6 год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проведено контрольное мероприятие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Проверка законности, результативности (эффективности) расходования бюджетных средств, направленных на реализацию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униципальной программы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«Профилактика правонарушений в сфере общественного порядка, незаконного оборота и злоупотребления наркотиками в городе Мегионе»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ind w:left="0" w:right="0" w:firstLine="709"/>
        <w:jc w:val="both"/>
        <w:spacing w:before="120" w:after="0" w:afterAutospacing="0" w:line="240" w:lineRule="auto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проверки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администрация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Мегиона.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ind w:left="0" w:right="0" w:firstLine="709"/>
        <w:jc w:val="both"/>
        <w:spacing w:before="120" w:after="0" w:afterAutospacing="0" w:line="240" w:lineRule="auto"/>
        <w:tabs>
          <w:tab w:val="left" w:pos="36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Период проверки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год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ind w:left="0" w:right="0" w:firstLine="709"/>
        <w:jc w:val="both"/>
        <w:spacing w:before="12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контрольного мероприятия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еятельность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администрации города Мегиона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по исполнению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программы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Проверка законности, результативности (эффективности) расходования бюджетных средств, направленных на реализацию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униципальной программы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«Профилактика правонарушений в сфере общественного порядка, незаконного оборота и злоупотребления наркотиками в городе Мегионе»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утвержденной постановлением администрации города Мегиона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 14.12.2023 № 2709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(далее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Муниципальная программа № 2709).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ind w:left="0" w:right="0" w:firstLine="709"/>
        <w:jc w:val="both"/>
        <w:spacing w:before="120" w:after="0" w:afterAutospacing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 ходе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проведения контрольного мероприятия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установлены случаи нарушения условий, установленных муниципальными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нормативно-правовыми актами, в рамках исполнения Муниципальной программы № 2709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Федерального закона от 05.04.2013 № 44-ФЗ «О кон</w:t>
      </w:r>
      <w:r>
        <w:rPr>
          <w:rFonts w:ascii="Times New Roman" w:hAnsi="Times New Roman"/>
          <w:sz w:val="24"/>
          <w:szCs w:val="24"/>
          <w:highlight w:val="white"/>
        </w:rPr>
        <w:t xml:space="preserve">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pStyle w:val="830"/>
        <w:ind w:left="0" w:right="0" w:firstLine="709"/>
        <w:jc w:val="both"/>
        <w:spacing w:before="12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контрольного мероприятия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администрации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города Мегиона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представлени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для принятия мер по устранению выявленных нарушений и недостатков.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2026-07-01T07:17:56Z</dcterms:modified>
</cp:coreProperties>
</file>