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В соответствии с Планом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работы Контрольно-счетной палаты городского округа город Мегион на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проведено контрольное мероприятие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«Проверка законности и эффективности использования бюджетных средств, направленных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реализацию подпрограммы 2 «Содержание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 муниципальной программы «Развитие транспортной системы города Мегиона»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firstLine="567"/>
        <w:jc w:val="both"/>
        <w:spacing w:before="120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муниципальное казенное учреждение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Управление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- МКУ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», Учреждение)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Период проверки 202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4"/>
        <w:ind w:firstLine="567"/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Цел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контрольного мероприятия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являл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еятельность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МКУ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по исполнению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Подпрограммы 2 «С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 муниципальной программы «Развитие транспортной системы города Мегиона»,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утвержденной постановлением администрации города Мегиона от 16.11.2023 № 1895.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17"/>
        <w:ind w:firstLine="567"/>
        <w:jc w:val="both"/>
        <w:spacing w:before="1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ходе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проведения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установлены случаи нарушения условий, установленных муниципальными контрактами, заключенными МКУ «УКС» в рамках исполнения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подпрограммы 2 «Содержание и текущий ремонт автомобильных дорог, проездов, элементов обустройства улично-дорожной сети, объектов внешнего благоустройства города Мегиона» муниципальной программы «Развитие транспортной системы города Мегиона»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Федерального закона от 05.04.2013 № 44-ФЗ «О кон</w:t>
      </w:r>
      <w:r>
        <w:rPr>
          <w:rFonts w:ascii="Times New Roman" w:hAnsi="Times New Roman"/>
          <w:sz w:val="24"/>
          <w:szCs w:val="24"/>
          <w:highlight w:val="white"/>
        </w:rPr>
        <w:t xml:space="preserve">трактной системе в сфере закупок товаров, работ, услуг для обеспечения государственных и муниципальных нужд»</w:t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результатам контрольного мероприятия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МКУ «УКС»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направлен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для принятия мер по устранению выявленных нарушений и недостатков.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4" w:customStyle="1">
    <w:name w:val="ConsPlusNormal"/>
    <w:link w:val="843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2025-12-23T05:48:34Z</dcterms:modified>
</cp:coreProperties>
</file>